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466CA" w14:textId="51D4F404" w:rsidR="00752CCA" w:rsidRPr="003F073D" w:rsidRDefault="00752CCA" w:rsidP="00752CCA">
      <w:pPr>
        <w:jc w:val="center"/>
        <w:rPr>
          <w:b/>
          <w:bCs/>
          <w:sz w:val="40"/>
          <w:szCs w:val="40"/>
          <w:u w:val="single"/>
        </w:rPr>
      </w:pPr>
      <w:r w:rsidRPr="003F073D">
        <w:rPr>
          <w:b/>
          <w:bCs/>
          <w:sz w:val="40"/>
          <w:szCs w:val="40"/>
          <w:u w:val="single"/>
        </w:rPr>
        <w:t xml:space="preserve">PROPOSED AMENDMENT </w:t>
      </w:r>
      <w:r>
        <w:rPr>
          <w:b/>
          <w:bCs/>
          <w:sz w:val="40"/>
          <w:szCs w:val="40"/>
          <w:u w:val="single"/>
        </w:rPr>
        <w:t>4</w:t>
      </w:r>
    </w:p>
    <w:p w14:paraId="3E86E356" w14:textId="77777777" w:rsidR="00752CCA" w:rsidRDefault="00752CCA" w:rsidP="00752CCA">
      <w:pPr>
        <w:jc w:val="center"/>
        <w:rPr>
          <w:b/>
          <w:bCs/>
          <w:u w:val="single"/>
        </w:rPr>
      </w:pPr>
    </w:p>
    <w:p w14:paraId="4D0B7CED" w14:textId="77777777" w:rsidR="00752CCA" w:rsidRDefault="00752CCA" w:rsidP="00752CCA">
      <w:pPr>
        <w:jc w:val="center"/>
        <w:rPr>
          <w:b/>
          <w:bCs/>
          <w:u w:val="single"/>
        </w:rPr>
      </w:pPr>
    </w:p>
    <w:p w14:paraId="3CD7AE23" w14:textId="57CC2099" w:rsidR="00752CCA" w:rsidRDefault="00752CCA" w:rsidP="00752CCA">
      <w:pPr>
        <w:jc w:val="center"/>
        <w:rPr>
          <w:b/>
          <w:bCs/>
          <w:u w:val="single"/>
        </w:rPr>
      </w:pPr>
      <w:r>
        <w:rPr>
          <w:b/>
          <w:bCs/>
          <w:u w:val="single"/>
        </w:rPr>
        <w:t>PROPOSED AMENDMENT TO DECLARATION OF COVENANTS, CONDITIONS AND RESTRICTIONS – SUTTON LAKES</w:t>
      </w:r>
    </w:p>
    <w:p w14:paraId="39404C28" w14:textId="77777777" w:rsidR="00752CCA" w:rsidRDefault="00752CCA" w:rsidP="00752CCA">
      <w:pPr>
        <w:jc w:val="center"/>
        <w:rPr>
          <w:b/>
          <w:bCs/>
          <w:u w:val="single"/>
        </w:rPr>
      </w:pPr>
    </w:p>
    <w:p w14:paraId="72B67365" w14:textId="77777777" w:rsidR="00752CCA" w:rsidRDefault="00752CCA" w:rsidP="00752CCA">
      <w:pPr>
        <w:jc w:val="center"/>
        <w:rPr>
          <w:b/>
          <w:bCs/>
          <w:u w:val="single"/>
        </w:rPr>
      </w:pPr>
    </w:p>
    <w:p w14:paraId="5C75D3DD" w14:textId="42F358FF" w:rsidR="00752CCA" w:rsidRDefault="00752CCA" w:rsidP="00752CCA">
      <w:pPr>
        <w:jc w:val="center"/>
      </w:pPr>
      <w:r w:rsidRPr="00C54478">
        <w:rPr>
          <w:b/>
          <w:bCs/>
          <w:highlight w:val="yellow"/>
          <w:u w:val="single"/>
        </w:rPr>
        <w:t>USE RESTRICTIONS/PROPERTY US</w:t>
      </w:r>
      <w:r w:rsidRPr="00752CCA">
        <w:rPr>
          <w:b/>
          <w:bCs/>
          <w:highlight w:val="yellow"/>
          <w:u w:val="single"/>
        </w:rPr>
        <w:t>E - RENTALS</w:t>
      </w:r>
    </w:p>
    <w:p w14:paraId="2F4DADF6" w14:textId="77777777" w:rsidR="00752CCA" w:rsidRDefault="00752CCA" w:rsidP="00752CCA">
      <w:pPr>
        <w:jc w:val="center"/>
      </w:pPr>
    </w:p>
    <w:p w14:paraId="521786B1" w14:textId="77777777" w:rsidR="00752CCA" w:rsidRPr="000E5EF2" w:rsidRDefault="00752CCA" w:rsidP="00752CCA">
      <w:r w:rsidRPr="000E5EF2">
        <w:tab/>
        <w:t xml:space="preserve">The following changes to the </w:t>
      </w:r>
      <w:r>
        <w:t xml:space="preserve">Declaration of Covenants, Conditions and Restrictions – Sutton Lakes </w:t>
      </w:r>
      <w:r w:rsidRPr="000E5EF2">
        <w:t>(“Declaration”) are recommended for approval.</w:t>
      </w:r>
    </w:p>
    <w:p w14:paraId="6B970359" w14:textId="77777777" w:rsidR="00752CCA" w:rsidRDefault="00752CCA" w:rsidP="00752CCA">
      <w:pPr>
        <w:rPr>
          <w:rFonts w:eastAsia="Calibri" w:cs="Times New Roman"/>
          <w:i/>
          <w:kern w:val="0"/>
          <w:szCs w:val="24"/>
          <w14:ligatures w14:val="none"/>
        </w:rPr>
      </w:pPr>
    </w:p>
    <w:p w14:paraId="1B685F60" w14:textId="77777777" w:rsidR="00752CCA" w:rsidRPr="000E5EF2" w:rsidRDefault="00752CCA" w:rsidP="00752CCA">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0E1FAB0A" w14:textId="77777777" w:rsidR="00752CCA" w:rsidRDefault="00752CCA" w:rsidP="00752CCA"/>
    <w:p w14:paraId="6FF144D8" w14:textId="77777777" w:rsidR="00752CCA" w:rsidRPr="00F32292" w:rsidRDefault="00752CCA" w:rsidP="00752CCA">
      <w:pPr>
        <w:rPr>
          <w:u w:val="single"/>
        </w:rPr>
      </w:pPr>
    </w:p>
    <w:p w14:paraId="15EB04BD" w14:textId="77777777" w:rsidR="00752CCA" w:rsidRPr="001B6320" w:rsidRDefault="00752CCA" w:rsidP="00752CCA">
      <w:pPr>
        <w:jc w:val="center"/>
        <w:rPr>
          <w:rFonts w:eastAsia="Calibri" w:cs="Times New Roman"/>
          <w:b/>
          <w:bCs/>
          <w:kern w:val="0"/>
          <w:szCs w:val="24"/>
          <w14:ligatures w14:val="none"/>
        </w:rPr>
      </w:pPr>
      <w:r w:rsidRPr="00675A46">
        <w:rPr>
          <w:rFonts w:eastAsia="Calibri" w:cs="Times New Roman"/>
          <w:b/>
          <w:bCs/>
          <w:kern w:val="0"/>
          <w:szCs w:val="24"/>
          <w14:ligatures w14:val="none"/>
        </w:rPr>
        <w:t xml:space="preserve">ARTICLE </w:t>
      </w:r>
      <w:r>
        <w:rPr>
          <w:rFonts w:eastAsia="Calibri" w:cs="Times New Roman"/>
          <w:b/>
          <w:bCs/>
          <w:kern w:val="0"/>
          <w:szCs w:val="24"/>
          <w14:ligatures w14:val="none"/>
        </w:rPr>
        <w:t>XI</w:t>
      </w:r>
    </w:p>
    <w:p w14:paraId="74217A48" w14:textId="77777777" w:rsidR="00752CCA" w:rsidRPr="001B6320" w:rsidRDefault="00752CCA" w:rsidP="00752CCA">
      <w:pPr>
        <w:jc w:val="center"/>
        <w:rPr>
          <w:rFonts w:eastAsia="Calibri" w:cs="Times New Roman"/>
          <w:b/>
          <w:bCs/>
          <w:kern w:val="0"/>
          <w:szCs w:val="24"/>
          <w14:ligatures w14:val="none"/>
        </w:rPr>
      </w:pPr>
      <w:r w:rsidRPr="001B6320">
        <w:rPr>
          <w:rFonts w:eastAsia="Calibri" w:cs="Times New Roman"/>
          <w:b/>
          <w:bCs/>
          <w:kern w:val="0"/>
          <w:szCs w:val="24"/>
          <w14:ligatures w14:val="none"/>
        </w:rPr>
        <w:t>Restrictions Affecting Residential Lots</w:t>
      </w:r>
    </w:p>
    <w:p w14:paraId="2C24BAAF" w14:textId="77777777" w:rsidR="00752CCA" w:rsidRPr="006A5A62" w:rsidRDefault="00752CCA" w:rsidP="00752CCA">
      <w:pPr>
        <w:rPr>
          <w:rFonts w:eastAsia="Calibri" w:cs="Times New Roman"/>
          <w:kern w:val="0"/>
          <w:szCs w:val="24"/>
          <w14:ligatures w14:val="none"/>
        </w:rPr>
      </w:pPr>
      <w:r>
        <w:rPr>
          <w:rFonts w:eastAsia="Calibri" w:cs="Times New Roman"/>
          <w:kern w:val="0"/>
          <w:szCs w:val="24"/>
          <w14:ligatures w14:val="none"/>
        </w:rPr>
        <w:t>…</w:t>
      </w:r>
    </w:p>
    <w:p w14:paraId="181A8D24" w14:textId="77777777" w:rsidR="00752CCA" w:rsidRPr="00613502" w:rsidRDefault="00752CCA" w:rsidP="00752CCA">
      <w:pPr>
        <w:rPr>
          <w:rFonts w:eastAsia="Calibri" w:cs="Times New Roman"/>
          <w:b/>
          <w:bCs/>
          <w:kern w:val="0"/>
          <w:szCs w:val="24"/>
          <w:u w:val="single"/>
          <w14:ligatures w14:val="none"/>
        </w:rPr>
      </w:pPr>
    </w:p>
    <w:p w14:paraId="4DA54F15" w14:textId="77777777" w:rsidR="00752CCA" w:rsidRDefault="00752CCA" w:rsidP="00752CCA">
      <w:pPr>
        <w:rPr>
          <w:rFonts w:eastAsia="Calibri" w:cs="Times New Roman"/>
          <w:kern w:val="0"/>
          <w:szCs w:val="24"/>
          <w:u w:val="single"/>
          <w14:ligatures w14:val="none"/>
        </w:rPr>
      </w:pPr>
      <w:r>
        <w:rPr>
          <w:rFonts w:eastAsia="Calibri" w:cs="Times New Roman"/>
          <w:kern w:val="0"/>
          <w:szCs w:val="24"/>
          <w14:ligatures w14:val="none"/>
        </w:rPr>
        <w:tab/>
      </w:r>
      <w:r>
        <w:rPr>
          <w:rFonts w:eastAsia="Calibri" w:cs="Times New Roman"/>
          <w:kern w:val="0"/>
          <w:szCs w:val="24"/>
          <w:u w:val="single"/>
          <w14:ligatures w14:val="none"/>
        </w:rPr>
        <w:t>13.</w:t>
      </w:r>
      <w:r>
        <w:rPr>
          <w:rFonts w:eastAsia="Calibri" w:cs="Times New Roman"/>
          <w:kern w:val="0"/>
          <w:szCs w:val="24"/>
          <w:u w:val="single"/>
          <w14:ligatures w14:val="none"/>
        </w:rPr>
        <w:tab/>
        <w:t>Rental.</w:t>
      </w:r>
    </w:p>
    <w:p w14:paraId="59D7AA86" w14:textId="77777777" w:rsidR="00752CCA" w:rsidRPr="005477D8" w:rsidRDefault="00752CCA" w:rsidP="00752CCA">
      <w:pPr>
        <w:pStyle w:val="ListParagraph"/>
        <w:numPr>
          <w:ilvl w:val="0"/>
          <w:numId w:val="1"/>
        </w:numPr>
        <w:rPr>
          <w:rFonts w:eastAsia="Calibri" w:cs="Times New Roman"/>
          <w:kern w:val="0"/>
          <w:szCs w:val="24"/>
          <w:u w:val="single"/>
          <w14:ligatures w14:val="none"/>
        </w:rPr>
      </w:pPr>
      <w:r w:rsidRPr="0026405F">
        <w:rPr>
          <w:rFonts w:eastAsia="Calibri" w:cs="Times New Roman"/>
          <w:b/>
          <w:bCs/>
          <w:kern w:val="0"/>
          <w:szCs w:val="24"/>
          <w:u w:val="single"/>
          <w14:ligatures w14:val="none"/>
        </w:rPr>
        <w:t>Minimum Lease Term</w:t>
      </w:r>
      <w:r w:rsidRPr="005477D8">
        <w:rPr>
          <w:rFonts w:eastAsia="Calibri" w:cs="Times New Roman"/>
          <w:kern w:val="0"/>
          <w:szCs w:val="24"/>
          <w:u w:val="single"/>
          <w14:ligatures w14:val="none"/>
        </w:rPr>
        <w:t>.  No Dwelling Unit may be leased or rented for a term of less than six (6) consecutive months.  No Owner may lease a Dwelling Unit for transient or hotel purposes, nor may an Owner lease a Dwelling Unit under a lease agreement that provides for occupancy on a short-term, vacation, or weekly basis.</w:t>
      </w:r>
    </w:p>
    <w:p w14:paraId="41B5C4F9" w14:textId="77777777" w:rsidR="00752CCA" w:rsidRDefault="00752CCA" w:rsidP="00752CCA">
      <w:pPr>
        <w:pStyle w:val="ListParagraph"/>
        <w:numPr>
          <w:ilvl w:val="0"/>
          <w:numId w:val="1"/>
        </w:numPr>
        <w:rPr>
          <w:rFonts w:eastAsia="Calibri" w:cs="Times New Roman"/>
          <w:kern w:val="0"/>
          <w:szCs w:val="24"/>
          <w:u w:val="single"/>
          <w14:ligatures w14:val="none"/>
        </w:rPr>
      </w:pPr>
      <w:r w:rsidRPr="0026405F">
        <w:rPr>
          <w:rFonts w:eastAsia="Calibri" w:cs="Times New Roman"/>
          <w:b/>
          <w:bCs/>
          <w:kern w:val="0"/>
          <w:szCs w:val="24"/>
          <w:u w:val="single"/>
          <w14:ligatures w14:val="none"/>
        </w:rPr>
        <w:t>Maximum Leases Per Year</w:t>
      </w:r>
      <w:r>
        <w:rPr>
          <w:rFonts w:eastAsia="Calibri" w:cs="Times New Roman"/>
          <w:kern w:val="0"/>
          <w:szCs w:val="24"/>
          <w:u w:val="single"/>
          <w14:ligatures w14:val="none"/>
        </w:rPr>
        <w:t>.</w:t>
      </w:r>
      <w:r>
        <w:rPr>
          <w:rFonts w:eastAsia="Calibri" w:cs="Times New Roman"/>
          <w:kern w:val="0"/>
          <w:szCs w:val="24"/>
          <w:u w:val="single"/>
          <w14:ligatures w14:val="none"/>
        </w:rPr>
        <w:tab/>
        <w:t>No Dwelling Unit may be leased more than three (3) times in a calendar year.</w:t>
      </w:r>
    </w:p>
    <w:p w14:paraId="75526CAE" w14:textId="77777777" w:rsidR="00752CCA" w:rsidRDefault="00752CCA" w:rsidP="00752CCA">
      <w:pPr>
        <w:pStyle w:val="ListParagraph"/>
        <w:numPr>
          <w:ilvl w:val="0"/>
          <w:numId w:val="1"/>
        </w:numPr>
        <w:rPr>
          <w:rFonts w:eastAsia="Calibri" w:cs="Times New Roman"/>
          <w:kern w:val="0"/>
          <w:szCs w:val="24"/>
          <w:u w:val="single"/>
          <w14:ligatures w14:val="none"/>
        </w:rPr>
      </w:pPr>
      <w:r w:rsidRPr="00710DA9">
        <w:rPr>
          <w:rFonts w:eastAsia="Calibri" w:cs="Times New Roman"/>
          <w:b/>
          <w:bCs/>
          <w:kern w:val="0"/>
          <w:szCs w:val="24"/>
          <w:u w:val="single"/>
          <w14:ligatures w14:val="none"/>
        </w:rPr>
        <w:t>Rental Waiting Period</w:t>
      </w:r>
      <w:r>
        <w:rPr>
          <w:rFonts w:eastAsia="Calibri" w:cs="Times New Roman"/>
          <w:kern w:val="0"/>
          <w:szCs w:val="24"/>
          <w:u w:val="single"/>
          <w14:ligatures w14:val="none"/>
        </w:rPr>
        <w:t xml:space="preserve">.  No Dwelling Unit may be leased, rented or otherwise occupied by a non-Owner tenant until at least </w:t>
      </w:r>
      <w:r w:rsidRPr="00B658BD">
        <w:rPr>
          <w:rFonts w:eastAsia="Calibri" w:cs="Times New Roman"/>
          <w:b/>
          <w:bCs/>
          <w:kern w:val="0"/>
          <w:szCs w:val="24"/>
          <w:u w:val="single"/>
          <w14:ligatures w14:val="none"/>
        </w:rPr>
        <w:t>twelve (12) months</w:t>
      </w:r>
      <w:r>
        <w:rPr>
          <w:rFonts w:eastAsia="Calibri" w:cs="Times New Roman"/>
          <w:kern w:val="0"/>
          <w:szCs w:val="24"/>
          <w:u w:val="single"/>
          <w14:ligatures w14:val="none"/>
        </w:rPr>
        <w:t xml:space="preserve"> after the date the Owner acquired title to the Dwelling Unit.  T</w:t>
      </w:r>
      <w:r w:rsidRPr="00F605DE">
        <w:rPr>
          <w:rFonts w:eastAsia="Calibri" w:cs="Times New Roman"/>
          <w:kern w:val="0"/>
          <w:szCs w:val="24"/>
          <w:u w:val="single"/>
          <w14:ligatures w14:val="none"/>
        </w:rPr>
        <w:t xml:space="preserve">he foregoing restriction shall not apply to (a) a transfer of title into a trust, limited liability company, family partnership, or other entity for estate planning or asset management purposes, provided that at least one of the beneficiaries, members, or partners is the prior record Owner or a </w:t>
      </w:r>
      <w:r>
        <w:rPr>
          <w:rFonts w:eastAsia="Calibri" w:cs="Times New Roman"/>
          <w:kern w:val="0"/>
          <w:szCs w:val="24"/>
          <w:u w:val="single"/>
          <w14:ligatures w14:val="none"/>
        </w:rPr>
        <w:t>f</w:t>
      </w:r>
      <w:r w:rsidRPr="00F605DE">
        <w:rPr>
          <w:rFonts w:eastAsia="Calibri" w:cs="Times New Roman"/>
          <w:kern w:val="0"/>
          <w:szCs w:val="24"/>
          <w:u w:val="single"/>
          <w14:ligatures w14:val="none"/>
        </w:rPr>
        <w:t xml:space="preserve">amily </w:t>
      </w:r>
      <w:r>
        <w:rPr>
          <w:rFonts w:eastAsia="Calibri" w:cs="Times New Roman"/>
          <w:kern w:val="0"/>
          <w:szCs w:val="24"/>
          <w:u w:val="single"/>
          <w14:ligatures w14:val="none"/>
        </w:rPr>
        <w:t>m</w:t>
      </w:r>
      <w:r w:rsidRPr="00F605DE">
        <w:rPr>
          <w:rFonts w:eastAsia="Calibri" w:cs="Times New Roman"/>
          <w:kern w:val="0"/>
          <w:szCs w:val="24"/>
          <w:u w:val="single"/>
          <w14:ligatures w14:val="none"/>
        </w:rPr>
        <w:t>ember of the prior record Owner; (b) a transfer of title by reason of the death of an Owner to his or her heirs, devisees, or estate planning beneficiaries; or (c) any other transfer that does not involve the introduction of a new, unrelated Owner.</w:t>
      </w:r>
      <w:r>
        <w:rPr>
          <w:rFonts w:eastAsia="Calibri" w:cs="Times New Roman"/>
          <w:kern w:val="0"/>
          <w:szCs w:val="24"/>
          <w:u w:val="single"/>
          <w14:ligatures w14:val="none"/>
        </w:rPr>
        <w:t xml:space="preserve">  </w:t>
      </w:r>
      <w:r w:rsidRPr="00B658BD">
        <w:rPr>
          <w:rFonts w:eastAsia="Calibri" w:cs="Times New Roman"/>
          <w:kern w:val="0"/>
          <w:szCs w:val="24"/>
          <w:u w:val="single"/>
          <w14:ligatures w14:val="none"/>
        </w:rPr>
        <w:t>For purposes of this Section, the term “acquired title” means the date an Owner’s deed or other instrument of conveyance is recorded in the public records of the county where the Community is located.</w:t>
      </w:r>
    </w:p>
    <w:p w14:paraId="76204273" w14:textId="77777777" w:rsidR="00752CCA" w:rsidRDefault="00752CCA" w:rsidP="00752CCA">
      <w:pPr>
        <w:pStyle w:val="ListParagraph"/>
        <w:numPr>
          <w:ilvl w:val="0"/>
          <w:numId w:val="1"/>
        </w:numPr>
        <w:rPr>
          <w:rFonts w:eastAsia="Calibri" w:cs="Times New Roman"/>
          <w:kern w:val="0"/>
          <w:szCs w:val="24"/>
          <w:u w:val="single"/>
          <w14:ligatures w14:val="none"/>
        </w:rPr>
      </w:pPr>
      <w:r w:rsidRPr="0026405F">
        <w:rPr>
          <w:rFonts w:eastAsia="Calibri" w:cs="Times New Roman"/>
          <w:b/>
          <w:bCs/>
          <w:kern w:val="0"/>
          <w:szCs w:val="24"/>
          <w:u w:val="single"/>
          <w14:ligatures w14:val="none"/>
        </w:rPr>
        <w:t>Tenant Information and Screening</w:t>
      </w:r>
      <w:r w:rsidRPr="0026405F">
        <w:rPr>
          <w:rFonts w:eastAsia="Calibri" w:cs="Times New Roman"/>
          <w:kern w:val="0"/>
          <w:szCs w:val="24"/>
          <w:u w:val="single"/>
          <w14:ligatures w14:val="none"/>
        </w:rPr>
        <w:t xml:space="preserve">. The Board of Directors shall have the authority to require Owners to provide information regarding prospective tenants, including but not limited to a completed application, copy of the proposed lease, and results of a background check or other screening measures deemed reasonably necessary by the Board. The Board may adopt </w:t>
      </w:r>
      <w:r w:rsidRPr="0026405F">
        <w:rPr>
          <w:rFonts w:eastAsia="Calibri" w:cs="Times New Roman"/>
          <w:kern w:val="0"/>
          <w:szCs w:val="24"/>
          <w:u w:val="single"/>
          <w14:ligatures w14:val="none"/>
        </w:rPr>
        <w:lastRenderedPageBreak/>
        <w:t>reasonable rules and procedures for the submission, review, and approval of such information.</w:t>
      </w:r>
    </w:p>
    <w:p w14:paraId="4EA21DB4" w14:textId="77777777" w:rsidR="00752CCA" w:rsidRDefault="00752CCA" w:rsidP="00752CCA">
      <w:pPr>
        <w:pStyle w:val="ListParagraph"/>
        <w:numPr>
          <w:ilvl w:val="0"/>
          <w:numId w:val="1"/>
        </w:numPr>
        <w:rPr>
          <w:rFonts w:eastAsia="Calibri" w:cs="Times New Roman"/>
          <w:kern w:val="0"/>
          <w:szCs w:val="24"/>
          <w:u w:val="single"/>
          <w14:ligatures w14:val="none"/>
        </w:rPr>
      </w:pPr>
      <w:proofErr w:type="gramStart"/>
      <w:r w:rsidRPr="00E237C9">
        <w:rPr>
          <w:rFonts w:eastAsia="Calibri" w:cs="Times New Roman"/>
          <w:b/>
          <w:bCs/>
          <w:kern w:val="0"/>
          <w:szCs w:val="24"/>
          <w:u w:val="single"/>
          <w14:ligatures w14:val="none"/>
        </w:rPr>
        <w:t>Lease</w:t>
      </w:r>
      <w:proofErr w:type="gramEnd"/>
      <w:r w:rsidRPr="00E237C9">
        <w:rPr>
          <w:rFonts w:eastAsia="Calibri" w:cs="Times New Roman"/>
          <w:b/>
          <w:bCs/>
          <w:kern w:val="0"/>
          <w:szCs w:val="24"/>
          <w:u w:val="single"/>
          <w14:ligatures w14:val="none"/>
        </w:rPr>
        <w:t xml:space="preserve"> Administration Fee.</w:t>
      </w:r>
      <w:r w:rsidRPr="00E237C9">
        <w:rPr>
          <w:rFonts w:eastAsia="Calibri" w:cs="Times New Roman"/>
          <w:kern w:val="0"/>
          <w:szCs w:val="24"/>
          <w:u w:val="single"/>
          <w14:ligatures w14:val="none"/>
        </w:rPr>
        <w:t xml:space="preserve"> The Association may charge a fee in connection with the processing, review, or administration of any lease, in such reasonable amount as may be established by the Board of Directors from time to time. Any change in the </w:t>
      </w:r>
      <w:proofErr w:type="gramStart"/>
      <w:r w:rsidRPr="00E237C9">
        <w:rPr>
          <w:rFonts w:eastAsia="Calibri" w:cs="Times New Roman"/>
          <w:kern w:val="0"/>
          <w:szCs w:val="24"/>
          <w:u w:val="single"/>
          <w14:ligatures w14:val="none"/>
        </w:rPr>
        <w:t>amount</w:t>
      </w:r>
      <w:proofErr w:type="gramEnd"/>
      <w:r w:rsidRPr="00E237C9">
        <w:rPr>
          <w:rFonts w:eastAsia="Calibri" w:cs="Times New Roman"/>
          <w:kern w:val="0"/>
          <w:szCs w:val="24"/>
          <w:u w:val="single"/>
          <w14:ligatures w14:val="none"/>
        </w:rPr>
        <w:t xml:space="preserve"> of such fee shall be effective no earlier than twenty (20) days after written notice of the change has been provided to the membership.</w:t>
      </w:r>
    </w:p>
    <w:p w14:paraId="3C5A59D5" w14:textId="77777777" w:rsidR="00752CCA" w:rsidRDefault="00752CCA" w:rsidP="00752CCA">
      <w:pPr>
        <w:pStyle w:val="ListParagraph"/>
        <w:numPr>
          <w:ilvl w:val="0"/>
          <w:numId w:val="1"/>
        </w:numPr>
        <w:rPr>
          <w:rFonts w:eastAsia="Calibri" w:cs="Times New Roman"/>
          <w:kern w:val="0"/>
          <w:szCs w:val="24"/>
          <w:u w:val="single"/>
          <w14:ligatures w14:val="none"/>
        </w:rPr>
      </w:pPr>
      <w:r w:rsidRPr="00E237C9">
        <w:rPr>
          <w:rFonts w:eastAsia="Calibri" w:cs="Times New Roman"/>
          <w:b/>
          <w:bCs/>
          <w:kern w:val="0"/>
          <w:szCs w:val="24"/>
          <w:u w:val="single"/>
          <w14:ligatures w14:val="none"/>
        </w:rPr>
        <w:t>Compliance with Governing Documents.</w:t>
      </w:r>
      <w:r w:rsidRPr="00E237C9">
        <w:rPr>
          <w:rFonts w:eastAsia="Calibri" w:cs="Times New Roman"/>
          <w:kern w:val="0"/>
          <w:szCs w:val="24"/>
          <w:u w:val="single"/>
          <w14:ligatures w14:val="none"/>
        </w:rPr>
        <w:t xml:space="preserve"> Every lease of a Dwelling Unit shall be deemed to include a covenant by the tenant to comply with all provisions of the Declaration, Bylaws, and rules and regulations of the Association, as the same may be amended from time to time. The Owner shall remain jointly and severally liable with the tenant for compliance with the Governing Documents and for all obligations of the Owner to the Association, including the payment of assessments.</w:t>
      </w:r>
    </w:p>
    <w:p w14:paraId="413E5A7E" w14:textId="77777777" w:rsidR="0081176F" w:rsidRDefault="0081176F"/>
    <w:sectPr w:rsidR="00811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396C"/>
    <w:multiLevelType w:val="hybridMultilevel"/>
    <w:tmpl w:val="30767B72"/>
    <w:lvl w:ilvl="0" w:tplc="5E3ECA7C">
      <w:start w:val="1"/>
      <w:numFmt w:val="upperLetter"/>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57363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CA"/>
    <w:rsid w:val="005F6B07"/>
    <w:rsid w:val="00752CCA"/>
    <w:rsid w:val="0081176F"/>
    <w:rsid w:val="00EC25CE"/>
    <w:rsid w:val="00F7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EDB7"/>
  <w15:chartTrackingRefBased/>
  <w15:docId w15:val="{7CC2E1A7-0C42-45D8-AE52-5FD8CF46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CCA"/>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752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C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C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C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C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CCA"/>
    <w:rPr>
      <w:rFonts w:eastAsiaTheme="majorEastAsia" w:cstheme="majorBidi"/>
      <w:color w:val="272727" w:themeColor="text1" w:themeTint="D8"/>
    </w:rPr>
  </w:style>
  <w:style w:type="paragraph" w:styleId="Title">
    <w:name w:val="Title"/>
    <w:basedOn w:val="Normal"/>
    <w:next w:val="Normal"/>
    <w:link w:val="TitleChar"/>
    <w:uiPriority w:val="10"/>
    <w:qFormat/>
    <w:rsid w:val="00752C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CCA"/>
    <w:pPr>
      <w:spacing w:before="160"/>
      <w:jc w:val="center"/>
    </w:pPr>
    <w:rPr>
      <w:i/>
      <w:iCs/>
      <w:color w:val="404040" w:themeColor="text1" w:themeTint="BF"/>
    </w:rPr>
  </w:style>
  <w:style w:type="character" w:customStyle="1" w:styleId="QuoteChar">
    <w:name w:val="Quote Char"/>
    <w:basedOn w:val="DefaultParagraphFont"/>
    <w:link w:val="Quote"/>
    <w:uiPriority w:val="29"/>
    <w:rsid w:val="00752CCA"/>
    <w:rPr>
      <w:i/>
      <w:iCs/>
      <w:color w:val="404040" w:themeColor="text1" w:themeTint="BF"/>
    </w:rPr>
  </w:style>
  <w:style w:type="paragraph" w:styleId="ListParagraph">
    <w:name w:val="List Paragraph"/>
    <w:basedOn w:val="Normal"/>
    <w:uiPriority w:val="34"/>
    <w:qFormat/>
    <w:rsid w:val="00752CCA"/>
    <w:pPr>
      <w:ind w:left="720"/>
      <w:contextualSpacing/>
    </w:pPr>
  </w:style>
  <w:style w:type="character" w:styleId="IntenseEmphasis">
    <w:name w:val="Intense Emphasis"/>
    <w:basedOn w:val="DefaultParagraphFont"/>
    <w:uiPriority w:val="21"/>
    <w:qFormat/>
    <w:rsid w:val="00752CCA"/>
    <w:rPr>
      <w:i/>
      <w:iCs/>
      <w:color w:val="0F4761" w:themeColor="accent1" w:themeShade="BF"/>
    </w:rPr>
  </w:style>
  <w:style w:type="paragraph" w:styleId="IntenseQuote">
    <w:name w:val="Intense Quote"/>
    <w:basedOn w:val="Normal"/>
    <w:next w:val="Normal"/>
    <w:link w:val="IntenseQuoteChar"/>
    <w:uiPriority w:val="30"/>
    <w:qFormat/>
    <w:rsid w:val="0075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CCA"/>
    <w:rPr>
      <w:i/>
      <w:iCs/>
      <w:color w:val="0F4761" w:themeColor="accent1" w:themeShade="BF"/>
    </w:rPr>
  </w:style>
  <w:style w:type="character" w:styleId="IntenseReference">
    <w:name w:val="Intense Reference"/>
    <w:basedOn w:val="DefaultParagraphFont"/>
    <w:uiPriority w:val="32"/>
    <w:qFormat/>
    <w:rsid w:val="00752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2701</Characters>
  <Application>Microsoft Office Word</Application>
  <DocSecurity>0</DocSecurity>
  <Lines>58</Lines>
  <Paragraphs>16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1</cp:revision>
  <dcterms:created xsi:type="dcterms:W3CDTF">2026-01-26T22:30:00Z</dcterms:created>
  <dcterms:modified xsi:type="dcterms:W3CDTF">2026-01-26T22:31:00Z</dcterms:modified>
</cp:coreProperties>
</file>