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90A9" w14:textId="453DEE23" w:rsidR="004A6F01" w:rsidRPr="003F073D" w:rsidRDefault="004A6F01" w:rsidP="004A6F01">
      <w:pPr>
        <w:jc w:val="center"/>
        <w:rPr>
          <w:b/>
          <w:bCs/>
          <w:sz w:val="40"/>
          <w:szCs w:val="40"/>
          <w:u w:val="single"/>
        </w:rPr>
      </w:pPr>
      <w:r w:rsidRPr="003F073D">
        <w:rPr>
          <w:b/>
          <w:bCs/>
          <w:sz w:val="40"/>
          <w:szCs w:val="40"/>
          <w:u w:val="single"/>
        </w:rPr>
        <w:t xml:space="preserve">PROPOSED AMENDMENT </w:t>
      </w:r>
      <w:r>
        <w:rPr>
          <w:b/>
          <w:bCs/>
          <w:sz w:val="40"/>
          <w:szCs w:val="40"/>
          <w:u w:val="single"/>
        </w:rPr>
        <w:t>6</w:t>
      </w:r>
    </w:p>
    <w:p w14:paraId="025B4256" w14:textId="77777777" w:rsidR="004A6F01" w:rsidRDefault="004A6F01" w:rsidP="005C4A7B">
      <w:pPr>
        <w:jc w:val="center"/>
        <w:rPr>
          <w:b/>
          <w:bCs/>
          <w:u w:val="single"/>
        </w:rPr>
      </w:pPr>
    </w:p>
    <w:p w14:paraId="391E1D3D" w14:textId="77777777" w:rsidR="004A6F01" w:rsidRDefault="004A6F01" w:rsidP="005C4A7B">
      <w:pPr>
        <w:jc w:val="center"/>
        <w:rPr>
          <w:b/>
          <w:bCs/>
          <w:u w:val="single"/>
        </w:rPr>
      </w:pPr>
    </w:p>
    <w:p w14:paraId="7E99EAD0" w14:textId="020C9E36" w:rsidR="005C4A7B" w:rsidRDefault="005C4A7B" w:rsidP="005C4A7B">
      <w:pPr>
        <w:jc w:val="center"/>
        <w:rPr>
          <w:b/>
          <w:bCs/>
          <w:u w:val="single"/>
        </w:rPr>
      </w:pPr>
      <w:r>
        <w:rPr>
          <w:b/>
          <w:bCs/>
          <w:u w:val="single"/>
        </w:rPr>
        <w:t>PROPOSED AMENDMENT TO DECLARATION OF COVENANTS, CONDITIONS AND RESTRICTIONS – SUTTON LAKES</w:t>
      </w:r>
    </w:p>
    <w:p w14:paraId="71D229B7" w14:textId="77777777" w:rsidR="005C4A7B" w:rsidRDefault="005C4A7B" w:rsidP="005C4A7B"/>
    <w:p w14:paraId="269750EF" w14:textId="77777777" w:rsidR="005C4A7B" w:rsidRDefault="005C4A7B" w:rsidP="005C4A7B"/>
    <w:p w14:paraId="1608B99E" w14:textId="16EE789B" w:rsidR="005C4A7B" w:rsidRDefault="005C4A7B" w:rsidP="005C4A7B">
      <w:pPr>
        <w:jc w:val="center"/>
        <w:rPr>
          <w:b/>
          <w:bCs/>
        </w:rPr>
      </w:pPr>
      <w:r w:rsidRPr="0095295B">
        <w:rPr>
          <w:b/>
          <w:bCs/>
          <w:highlight w:val="yellow"/>
        </w:rPr>
        <w:t>SPECIAL ASSESSMENT</w:t>
      </w:r>
      <w:r w:rsidR="00C537CF" w:rsidRPr="00C537CF">
        <w:rPr>
          <w:b/>
          <w:bCs/>
          <w:highlight w:val="yellow"/>
        </w:rPr>
        <w:t>/LIEN PRIORITY</w:t>
      </w:r>
    </w:p>
    <w:p w14:paraId="67C59F3D" w14:textId="77777777" w:rsidR="005C4A7B" w:rsidRPr="0095295B" w:rsidRDefault="005C4A7B" w:rsidP="005C4A7B">
      <w:pPr>
        <w:jc w:val="center"/>
        <w:rPr>
          <w:b/>
          <w:bCs/>
        </w:rPr>
      </w:pPr>
    </w:p>
    <w:p w14:paraId="237AD3E2" w14:textId="77777777" w:rsidR="005C4A7B" w:rsidRPr="000E5EF2" w:rsidRDefault="005C4A7B" w:rsidP="005C4A7B">
      <w:r w:rsidRPr="000E5EF2">
        <w:tab/>
        <w:t xml:space="preserve">The following changes to the </w:t>
      </w:r>
      <w:r>
        <w:t xml:space="preserve">Declaration of Covenants, Conditions and Restrictions – Sutton Lakes </w:t>
      </w:r>
      <w:r w:rsidRPr="000E5EF2">
        <w:t>(“Declaration”) are recommended for approval.</w:t>
      </w:r>
    </w:p>
    <w:p w14:paraId="3A1F4E15" w14:textId="77777777" w:rsidR="005C4A7B" w:rsidRDefault="005C4A7B" w:rsidP="005C4A7B">
      <w:pPr>
        <w:rPr>
          <w:rFonts w:eastAsia="Calibri" w:cs="Times New Roman"/>
          <w:i/>
          <w:kern w:val="0"/>
          <w:szCs w:val="24"/>
          <w14:ligatures w14:val="none"/>
        </w:rPr>
      </w:pPr>
    </w:p>
    <w:p w14:paraId="5E035252" w14:textId="77777777" w:rsidR="005C4A7B" w:rsidRPr="000E5EF2" w:rsidRDefault="005C4A7B" w:rsidP="005C4A7B">
      <w:pPr>
        <w:jc w:val="center"/>
        <w:rPr>
          <w:i/>
        </w:rPr>
      </w:pPr>
      <w:r w:rsidRPr="000E5EF2">
        <w:rPr>
          <w:i/>
        </w:rPr>
        <w:t xml:space="preserve">(Additions are indicated by </w:t>
      </w:r>
      <w:r w:rsidRPr="000E5EF2">
        <w:rPr>
          <w:i/>
          <w:u w:val="single"/>
        </w:rPr>
        <w:t>underline</w:t>
      </w:r>
      <w:r w:rsidRPr="000E5EF2">
        <w:rPr>
          <w:i/>
        </w:rPr>
        <w:t xml:space="preserve"> (with any additions in headings only indicated by </w:t>
      </w:r>
      <w:r w:rsidRPr="000E5EF2">
        <w:rPr>
          <w:i/>
          <w:u w:val="double"/>
        </w:rPr>
        <w:t>double underline</w:t>
      </w:r>
      <w:r w:rsidRPr="000E5EF2">
        <w:rPr>
          <w:i/>
        </w:rPr>
        <w:t xml:space="preserve">), deletions are indicated by </w:t>
      </w:r>
      <w:r w:rsidRPr="000E5EF2">
        <w:rPr>
          <w:i/>
          <w:strike/>
        </w:rPr>
        <w:t>strikethrough</w:t>
      </w:r>
      <w:r w:rsidRPr="000E5EF2">
        <w:rPr>
          <w:i/>
        </w:rPr>
        <w:t>)</w:t>
      </w:r>
    </w:p>
    <w:p w14:paraId="4079F3B3" w14:textId="77777777" w:rsidR="005C4A7B" w:rsidRDefault="005C4A7B" w:rsidP="005C4A7B">
      <w:pPr>
        <w:jc w:val="center"/>
      </w:pPr>
    </w:p>
    <w:p w14:paraId="2186E0B0" w14:textId="77777777" w:rsidR="005C4A7B" w:rsidRDefault="005C4A7B" w:rsidP="005C4A7B">
      <w:pPr>
        <w:jc w:val="center"/>
        <w:rPr>
          <w:b/>
          <w:bCs/>
        </w:rPr>
      </w:pPr>
      <w:r>
        <w:rPr>
          <w:b/>
          <w:bCs/>
        </w:rPr>
        <w:t>ARTICLE III</w:t>
      </w:r>
    </w:p>
    <w:p w14:paraId="4E667E6D" w14:textId="77777777" w:rsidR="005C4A7B" w:rsidRDefault="005C4A7B" w:rsidP="005C4A7B">
      <w:pPr>
        <w:jc w:val="center"/>
        <w:rPr>
          <w:b/>
          <w:bCs/>
        </w:rPr>
      </w:pPr>
      <w:r>
        <w:rPr>
          <w:b/>
          <w:bCs/>
        </w:rPr>
        <w:t>Covenant of Maintenance Assessments</w:t>
      </w:r>
    </w:p>
    <w:p w14:paraId="4D0D082B" w14:textId="77777777" w:rsidR="005C4A7B" w:rsidRDefault="005C4A7B" w:rsidP="005C4A7B">
      <w:r>
        <w:t>…</w:t>
      </w:r>
    </w:p>
    <w:p w14:paraId="07FF3B08" w14:textId="77777777" w:rsidR="005C4A7B" w:rsidRPr="00D925AF" w:rsidRDefault="005C4A7B" w:rsidP="005C4A7B">
      <w:pPr>
        <w:rPr>
          <w:rFonts w:cs="Times New Roman"/>
        </w:rPr>
      </w:pPr>
    </w:p>
    <w:p w14:paraId="7964F85E" w14:textId="77777777" w:rsidR="005C4A7B" w:rsidRPr="00D925AF" w:rsidRDefault="005C4A7B" w:rsidP="005C4A7B">
      <w:pPr>
        <w:pStyle w:val="ListParagraph"/>
        <w:rPr>
          <w:rFonts w:cs="Times New Roman"/>
        </w:rPr>
      </w:pPr>
    </w:p>
    <w:p w14:paraId="319927FC" w14:textId="432B7A46" w:rsidR="005C4A7B" w:rsidRDefault="005C4A7B" w:rsidP="005C4A7B">
      <w:pPr>
        <w:ind w:firstLine="720"/>
        <w:rPr>
          <w:rFonts w:cs="Times New Roman"/>
        </w:rPr>
      </w:pPr>
      <w:r>
        <w:rPr>
          <w:rFonts w:cs="Times New Roman"/>
        </w:rPr>
        <w:t>4.</w:t>
      </w:r>
      <w:r>
        <w:rPr>
          <w:rFonts w:cs="Times New Roman"/>
        </w:rPr>
        <w:tab/>
        <w:t>Special Assessments.  In addition to the annual assessments authorized above, the Board may levy, in any assessment year, a special assessment applicable to that year provided that any such assessment</w:t>
      </w:r>
      <w:r w:rsidR="00791FE3">
        <w:rPr>
          <w:rFonts w:cs="Times New Roman"/>
        </w:rPr>
        <w:t xml:space="preserve"> </w:t>
      </w:r>
      <w:r w:rsidR="00791FE3">
        <w:rPr>
          <w:rFonts w:cs="Times New Roman"/>
          <w:u w:val="single"/>
        </w:rPr>
        <w:t>greater than $1,000.00 per</w:t>
      </w:r>
      <w:r w:rsidR="00DA05D1">
        <w:rPr>
          <w:rFonts w:cs="Times New Roman"/>
          <w:u w:val="single"/>
        </w:rPr>
        <w:t xml:space="preserve"> Lot</w:t>
      </w:r>
      <w:r>
        <w:rPr>
          <w:rFonts w:cs="Times New Roman"/>
        </w:rPr>
        <w:t xml:space="preserve"> shall have the assent of </w:t>
      </w:r>
      <w:r>
        <w:rPr>
          <w:rFonts w:cs="Times New Roman"/>
          <w:u w:val="single"/>
        </w:rPr>
        <w:t>a majority of the voting interests appearing in person, by proxy, or casting their vote electronically (should the Association establish electronic voting procedures), at a meeting where a quorum is met</w:t>
      </w:r>
      <w:r>
        <w:rPr>
          <w:rFonts w:cs="Times New Roman"/>
        </w:rPr>
        <w:t xml:space="preserve"> </w:t>
      </w:r>
      <w:r w:rsidRPr="0095295B">
        <w:rPr>
          <w:rFonts w:cs="Times New Roman"/>
          <w:strike/>
        </w:rPr>
        <w:t>two-thirds (2/3rds) of the votes of each class of members who are voting in person or by proxy at a meeting duly called for this purpose</w:t>
      </w:r>
      <w:r>
        <w:rPr>
          <w:rFonts w:cs="Times New Roman"/>
        </w:rPr>
        <w:t>.</w:t>
      </w:r>
    </w:p>
    <w:p w14:paraId="5B9FAF82" w14:textId="77777777" w:rsidR="005C4A7B" w:rsidRDefault="005C4A7B" w:rsidP="005C4A7B">
      <w:pPr>
        <w:ind w:firstLine="720"/>
        <w:rPr>
          <w:rFonts w:cs="Times New Roman"/>
        </w:rPr>
      </w:pPr>
    </w:p>
    <w:p w14:paraId="181CFA93" w14:textId="77777777" w:rsidR="005C4A7B" w:rsidRDefault="005C4A7B" w:rsidP="005C4A7B">
      <w:pPr>
        <w:ind w:firstLine="720"/>
        <w:rPr>
          <w:rFonts w:cs="Times New Roman"/>
        </w:rPr>
      </w:pPr>
      <w:r>
        <w:rPr>
          <w:rFonts w:cs="Times New Roman"/>
        </w:rPr>
        <w:t>…</w:t>
      </w:r>
    </w:p>
    <w:p w14:paraId="2AC5A5E8" w14:textId="77777777" w:rsidR="005C4A7B" w:rsidRDefault="005C4A7B" w:rsidP="005C4A7B">
      <w:pPr>
        <w:ind w:firstLine="720"/>
        <w:rPr>
          <w:rFonts w:cs="Times New Roman"/>
        </w:rPr>
      </w:pPr>
    </w:p>
    <w:p w14:paraId="7B7A7A36" w14:textId="77777777" w:rsidR="005C4A7B" w:rsidRPr="0095295B" w:rsidRDefault="005C4A7B" w:rsidP="005C4A7B">
      <w:pPr>
        <w:ind w:firstLine="720"/>
        <w:rPr>
          <w:u w:val="single"/>
        </w:rPr>
      </w:pPr>
      <w:r>
        <w:rPr>
          <w:rFonts w:cs="Times New Roman"/>
        </w:rPr>
        <w:t>9.</w:t>
      </w:r>
      <w:r>
        <w:rPr>
          <w:rFonts w:cs="Times New Roman"/>
        </w:rPr>
        <w:tab/>
        <w:t xml:space="preserve">Subordination of the Lien to Mortgages.  The </w:t>
      </w:r>
      <w:proofErr w:type="gramStart"/>
      <w:r>
        <w:rPr>
          <w:rFonts w:cs="Times New Roman"/>
        </w:rPr>
        <w:t>lien</w:t>
      </w:r>
      <w:proofErr w:type="gramEnd"/>
      <w:r>
        <w:rPr>
          <w:rFonts w:cs="Times New Roman"/>
        </w:rPr>
        <w:t xml:space="preserve"> of the assessments provided for herein shall be subordinate to the </w:t>
      </w:r>
      <w:proofErr w:type="gramStart"/>
      <w:r>
        <w:rPr>
          <w:rFonts w:cs="Times New Roman"/>
        </w:rPr>
        <w:t>lien</w:t>
      </w:r>
      <w:proofErr w:type="gramEnd"/>
      <w:r>
        <w:rPr>
          <w:rFonts w:cs="Times New Roman"/>
        </w:rPr>
        <w:t xml:space="preserve"> of any first mortgage</w:t>
      </w:r>
      <w:r w:rsidRPr="0095295B">
        <w:rPr>
          <w:rFonts w:cs="Times New Roman"/>
        </w:rPr>
        <w:t>.</w:t>
      </w:r>
      <w:r>
        <w:rPr>
          <w:rFonts w:cs="Times New Roman"/>
        </w:rPr>
        <w:t xml:space="preserve">  </w:t>
      </w:r>
      <w:r w:rsidRPr="0095295B">
        <w:rPr>
          <w:rFonts w:cs="Times New Roman"/>
          <w:strike/>
        </w:rPr>
        <w:t xml:space="preserve">Sale or transfer of any Residential Lot shall not affect the assessment </w:t>
      </w:r>
      <w:proofErr w:type="gramStart"/>
      <w:r w:rsidRPr="0095295B">
        <w:rPr>
          <w:rFonts w:cs="Times New Roman"/>
          <w:strike/>
        </w:rPr>
        <w:t>lien</w:t>
      </w:r>
      <w:proofErr w:type="gramEnd"/>
      <w:r w:rsidRPr="0095295B">
        <w:rPr>
          <w:rFonts w:cs="Times New Roman"/>
          <w:strike/>
        </w:rPr>
        <w:t xml:space="preserve">. However, the sale or transfer of any Residential Lot pursuant to mortgage foreclosure or any proceeding in lieu thereof shall extinguish the </w:t>
      </w:r>
      <w:proofErr w:type="gramStart"/>
      <w:r w:rsidRPr="0095295B">
        <w:rPr>
          <w:rFonts w:cs="Times New Roman"/>
          <w:strike/>
        </w:rPr>
        <w:t>lien</w:t>
      </w:r>
      <w:proofErr w:type="gramEnd"/>
      <w:r w:rsidRPr="0095295B">
        <w:rPr>
          <w:rFonts w:cs="Times New Roman"/>
          <w:strike/>
        </w:rPr>
        <w:t xml:space="preserve"> of such assessments as to payments which became due prior to such sale or transfer. No sale or transfer shall relieve such Residential Lot from liability for any assessment thereafter becoming due or from the </w:t>
      </w:r>
      <w:proofErr w:type="gramStart"/>
      <w:r w:rsidRPr="0095295B">
        <w:rPr>
          <w:rFonts w:cs="Times New Roman"/>
          <w:strike/>
        </w:rPr>
        <w:t>lien</w:t>
      </w:r>
      <w:proofErr w:type="gramEnd"/>
      <w:r w:rsidRPr="0095295B">
        <w:rPr>
          <w:rFonts w:cs="Times New Roman"/>
          <w:strike/>
        </w:rPr>
        <w:t xml:space="preserve"> thereof.</w:t>
      </w:r>
      <w:r>
        <w:rPr>
          <w:rFonts w:cs="Times New Roman"/>
          <w:strike/>
        </w:rPr>
        <w:t xml:space="preserve"> </w:t>
      </w:r>
      <w:r w:rsidRPr="0095295B">
        <w:rPr>
          <w:u w:val="single"/>
        </w:rPr>
        <w:t>Further, and notwithstanding anything herein to the contrary, a First Mortgagee’s liability for Assessments, interest, late fees, costs, and reasonable attorney’s fees accruing prior to its acquisition of title to a Lot shall be limited to the lesser of (</w:t>
      </w:r>
      <w:proofErr w:type="spellStart"/>
      <w:r w:rsidRPr="0095295B">
        <w:rPr>
          <w:u w:val="single"/>
        </w:rPr>
        <w:t>i</w:t>
      </w:r>
      <w:proofErr w:type="spellEnd"/>
      <w:r w:rsidRPr="0095295B">
        <w:rPr>
          <w:u w:val="single"/>
        </w:rPr>
        <w:t xml:space="preserve">) the common expenses and Assessments, late fees, interest, costs and reasonable attorney’s fees which accrued or came due during the twelve (12) months immediately preceding the First Mortgagee’s acquisition of title and for which payment in full has not been received by the Association; or (ii) one percent (1%) of the amount stated in the first mortgage. The person or entity acquiring title shall pay the amount owed to the Association within thirty (30) days of transfer of title. Any share of common expenses, Assessments, interest, late fees, costs, and reasonable attorneys’ fees, and other charges that are uncollectable from a First Mortgagee after acquisition of title shall be </w:t>
      </w:r>
      <w:r w:rsidRPr="0095295B">
        <w:rPr>
          <w:u w:val="single"/>
        </w:rPr>
        <w:lastRenderedPageBreak/>
        <w:t xml:space="preserve">collectable from </w:t>
      </w:r>
      <w:proofErr w:type="gramStart"/>
      <w:r w:rsidRPr="0095295B">
        <w:rPr>
          <w:u w:val="single"/>
        </w:rPr>
        <w:t>all of</w:t>
      </w:r>
      <w:proofErr w:type="gramEnd"/>
      <w:r w:rsidRPr="0095295B">
        <w:rPr>
          <w:u w:val="single"/>
        </w:rPr>
        <w:t xml:space="preserve"> the Owners, including such acquirer and its successors and assigns. A First Mortgagee acquiring title to a Lot </w:t>
      </w:r>
      <w:proofErr w:type="gramStart"/>
      <w:r w:rsidRPr="0095295B">
        <w:rPr>
          <w:u w:val="single"/>
        </w:rPr>
        <w:t>as a result of</w:t>
      </w:r>
      <w:proofErr w:type="gramEnd"/>
      <w:r w:rsidRPr="0095295B">
        <w:rPr>
          <w:u w:val="single"/>
        </w:rPr>
        <w:t xml:space="preserve"> foreclosure or a deed in lieu of foreclosure may not be excused from payment of the common expenses and Assessments coming due during its period of ownership.</w:t>
      </w:r>
    </w:p>
    <w:p w14:paraId="24AF6E04" w14:textId="77777777" w:rsidR="005C4A7B" w:rsidRPr="0095295B" w:rsidRDefault="005C4A7B" w:rsidP="005C4A7B">
      <w:pPr>
        <w:ind w:firstLine="720"/>
        <w:rPr>
          <w:rFonts w:cs="Times New Roman"/>
          <w:u w:val="single"/>
        </w:rPr>
      </w:pPr>
      <w:r w:rsidRPr="0095295B">
        <w:rPr>
          <w:rFonts w:cs="Times New Roman"/>
          <w:u w:val="single"/>
        </w:rPr>
        <w:t>In the event that Chapter 720 of the Florida Statutes or any other law allows the Association to collect an amount greater than the amounts provided herein from a First Mortgagee or its successors or assigns (as defined by statute) following foreclosure, a deed-in-lieu transaction, or any other disposition of the property, then such law shall be deemed expressly incorporated herein and shall supersede any provisions herein to the contrary. However, in the event that Chapter 720 of the Florida Statutes or any other law limits the amounts (including, but not limited to, Assessments, interest, late fees, costs, reasonable attorneys’ fees, and other charges) that the Association may collect from a First Mortgagee or its successors or assigns (as defined by statute) beyond the limitation afforded in this section, then such law shall only apply to any mortgages recorded on or after the effective date of such law and shall not apply to retroactively impair the rights contemplated herein with respect to mortgages on Lots in existence prior to the effective date of such law.</w:t>
      </w:r>
    </w:p>
    <w:p w14:paraId="791C67CA" w14:textId="77777777" w:rsidR="005C4A7B" w:rsidRPr="0095295B" w:rsidRDefault="005C4A7B" w:rsidP="005C4A7B">
      <w:pPr>
        <w:ind w:firstLine="720"/>
        <w:rPr>
          <w:rFonts w:cs="Times New Roman"/>
        </w:rPr>
      </w:pPr>
      <w:r w:rsidRPr="0095295B">
        <w:rPr>
          <w:rFonts w:cs="Times New Roman"/>
          <w:u w:val="single"/>
        </w:rPr>
        <w:t xml:space="preserve">Any purported First Mortgagee or other party acquiring title to a Lot and claiming an entitlement to a limitation of liability for Assessments, interest, late fees, costs, and attorneys’ incident to collection coming due prior to acquisition of title to a Lot shall have the affirmative obligation to furnish all materials requested by the Association to determine entitlement to a limitation of liability and the failure to comply shall result in that party’s forfeiture of any right to attorneys’ fees or costs that may otherwise be recoverable by laws associated with any litigation or other dispute resolution concerning liability to the Association. Such information must include, at a minimum, written affirmation from an authorized representative of the purported First Mortgagee identifying the owner of the loan pertaining to the mortgage at the time the foreclosure judgment was </w:t>
      </w:r>
      <w:proofErr w:type="gramStart"/>
      <w:r w:rsidRPr="0095295B">
        <w:rPr>
          <w:rFonts w:cs="Times New Roman"/>
          <w:u w:val="single"/>
        </w:rPr>
        <w:t>entered</w:t>
      </w:r>
      <w:proofErr w:type="gramEnd"/>
      <w:r w:rsidRPr="0095295B">
        <w:rPr>
          <w:rFonts w:cs="Times New Roman"/>
          <w:u w:val="single"/>
        </w:rPr>
        <w:t xml:space="preserve"> or the dee-in-lieu transaction occurred.</w:t>
      </w:r>
    </w:p>
    <w:p w14:paraId="51C6B681" w14:textId="77777777" w:rsidR="005C4A7B" w:rsidRDefault="005C4A7B" w:rsidP="005C4A7B">
      <w:pPr>
        <w:ind w:firstLine="720"/>
        <w:rPr>
          <w:rFonts w:cs="Times New Roman"/>
          <w:strike/>
        </w:rPr>
      </w:pPr>
      <w:r>
        <w:rPr>
          <w:rFonts w:cs="Times New Roman"/>
        </w:rPr>
        <w:t xml:space="preserve">    </w:t>
      </w:r>
    </w:p>
    <w:p w14:paraId="4F545219" w14:textId="77777777" w:rsidR="005C4A7B" w:rsidRPr="0095295B" w:rsidRDefault="005C4A7B" w:rsidP="005C4A7B">
      <w:pPr>
        <w:ind w:firstLine="720"/>
        <w:rPr>
          <w:rFonts w:cs="Times New Roman"/>
        </w:rPr>
      </w:pPr>
      <w:r w:rsidRPr="0095295B">
        <w:rPr>
          <w:rFonts w:cs="Times New Roman"/>
        </w:rPr>
        <w:t>Any such delinquent assessments which were extinguished pursuant to the foregoing may be reallocated and assessed against the remaining Residential Lots as a common expense or special assessment.</w:t>
      </w:r>
    </w:p>
    <w:p w14:paraId="70DE5DC0" w14:textId="77777777" w:rsidR="005C4A7B" w:rsidRPr="00D925AF" w:rsidRDefault="005C4A7B" w:rsidP="005C4A7B">
      <w:pPr>
        <w:ind w:firstLine="720"/>
        <w:rPr>
          <w:rFonts w:cs="Times New Roman"/>
        </w:rPr>
      </w:pPr>
      <w:r w:rsidRPr="0095295B">
        <w:rPr>
          <w:rFonts w:cs="Times New Roman"/>
        </w:rPr>
        <w:t xml:space="preserve"> </w:t>
      </w:r>
      <w:r w:rsidRPr="0095295B">
        <w:rPr>
          <w:rFonts w:cs="Times New Roman"/>
        </w:rPr>
        <w:cr/>
      </w:r>
    </w:p>
    <w:p w14:paraId="67D423F8" w14:textId="77777777" w:rsidR="005C4A7B" w:rsidRDefault="005C4A7B"/>
    <w:sectPr w:rsidR="005C4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871"/>
    <w:multiLevelType w:val="hybridMultilevel"/>
    <w:tmpl w:val="3C3C39CE"/>
    <w:lvl w:ilvl="0" w:tplc="FCBEB922">
      <w:start w:val="1"/>
      <w:numFmt w:val="lowerLetter"/>
      <w:lvlText w:val="(%1)"/>
      <w:lvlJc w:val="left"/>
      <w:pPr>
        <w:ind w:left="1800" w:hanging="360"/>
      </w:pPr>
      <w:rPr>
        <w:rFonts w:hint="default"/>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126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7B"/>
    <w:rsid w:val="00067EE2"/>
    <w:rsid w:val="00234EBA"/>
    <w:rsid w:val="004A6F01"/>
    <w:rsid w:val="00577A25"/>
    <w:rsid w:val="0058062C"/>
    <w:rsid w:val="005C4A7B"/>
    <w:rsid w:val="005F6B07"/>
    <w:rsid w:val="00610197"/>
    <w:rsid w:val="00791FE3"/>
    <w:rsid w:val="00B1163E"/>
    <w:rsid w:val="00C537CF"/>
    <w:rsid w:val="00D4471F"/>
    <w:rsid w:val="00D56E7F"/>
    <w:rsid w:val="00DA05D1"/>
    <w:rsid w:val="00F771A1"/>
    <w:rsid w:val="00F7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47A7"/>
  <w15:chartTrackingRefBased/>
  <w15:docId w15:val="{D8E9FBF6-AA84-4DAA-A9D5-3BF2B140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A7B"/>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5C4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A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A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A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A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A7B"/>
    <w:rPr>
      <w:rFonts w:eastAsiaTheme="majorEastAsia" w:cstheme="majorBidi"/>
      <w:color w:val="272727" w:themeColor="text1" w:themeTint="D8"/>
    </w:rPr>
  </w:style>
  <w:style w:type="paragraph" w:styleId="Title">
    <w:name w:val="Title"/>
    <w:basedOn w:val="Normal"/>
    <w:next w:val="Normal"/>
    <w:link w:val="TitleChar"/>
    <w:uiPriority w:val="10"/>
    <w:qFormat/>
    <w:rsid w:val="005C4A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A7B"/>
    <w:pPr>
      <w:spacing w:before="160"/>
      <w:jc w:val="center"/>
    </w:pPr>
    <w:rPr>
      <w:i/>
      <w:iCs/>
      <w:color w:val="404040" w:themeColor="text1" w:themeTint="BF"/>
    </w:rPr>
  </w:style>
  <w:style w:type="character" w:customStyle="1" w:styleId="QuoteChar">
    <w:name w:val="Quote Char"/>
    <w:basedOn w:val="DefaultParagraphFont"/>
    <w:link w:val="Quote"/>
    <w:uiPriority w:val="29"/>
    <w:rsid w:val="005C4A7B"/>
    <w:rPr>
      <w:i/>
      <w:iCs/>
      <w:color w:val="404040" w:themeColor="text1" w:themeTint="BF"/>
    </w:rPr>
  </w:style>
  <w:style w:type="paragraph" w:styleId="ListParagraph">
    <w:name w:val="List Paragraph"/>
    <w:basedOn w:val="Normal"/>
    <w:uiPriority w:val="34"/>
    <w:qFormat/>
    <w:rsid w:val="005C4A7B"/>
    <w:pPr>
      <w:ind w:left="720"/>
      <w:contextualSpacing/>
    </w:pPr>
  </w:style>
  <w:style w:type="character" w:styleId="IntenseEmphasis">
    <w:name w:val="Intense Emphasis"/>
    <w:basedOn w:val="DefaultParagraphFont"/>
    <w:uiPriority w:val="21"/>
    <w:qFormat/>
    <w:rsid w:val="005C4A7B"/>
    <w:rPr>
      <w:i/>
      <w:iCs/>
      <w:color w:val="0F4761" w:themeColor="accent1" w:themeShade="BF"/>
    </w:rPr>
  </w:style>
  <w:style w:type="paragraph" w:styleId="IntenseQuote">
    <w:name w:val="Intense Quote"/>
    <w:basedOn w:val="Normal"/>
    <w:next w:val="Normal"/>
    <w:link w:val="IntenseQuoteChar"/>
    <w:uiPriority w:val="30"/>
    <w:qFormat/>
    <w:rsid w:val="005C4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A7B"/>
    <w:rPr>
      <w:i/>
      <w:iCs/>
      <w:color w:val="0F4761" w:themeColor="accent1" w:themeShade="BF"/>
    </w:rPr>
  </w:style>
  <w:style w:type="character" w:styleId="IntenseReference">
    <w:name w:val="Intense Reference"/>
    <w:basedOn w:val="DefaultParagraphFont"/>
    <w:uiPriority w:val="32"/>
    <w:qFormat/>
    <w:rsid w:val="005C4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4347</Characters>
  <Application>Microsoft Office Word</Application>
  <DocSecurity>0</DocSecurity>
  <Lines>78</Lines>
  <Paragraphs>14</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6</cp:revision>
  <dcterms:created xsi:type="dcterms:W3CDTF">2026-01-26T22:35:00Z</dcterms:created>
  <dcterms:modified xsi:type="dcterms:W3CDTF">2026-01-27T16:52:00Z</dcterms:modified>
</cp:coreProperties>
</file>