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CFE9" w14:textId="735B0DB0" w:rsidR="00882630" w:rsidRPr="003F073D" w:rsidRDefault="00882630" w:rsidP="00882630">
      <w:pPr>
        <w:jc w:val="center"/>
        <w:rPr>
          <w:b/>
          <w:bCs/>
          <w:sz w:val="40"/>
          <w:szCs w:val="40"/>
          <w:u w:val="single"/>
        </w:rPr>
      </w:pPr>
      <w:r w:rsidRPr="003F073D">
        <w:rPr>
          <w:b/>
          <w:bCs/>
          <w:sz w:val="40"/>
          <w:szCs w:val="40"/>
          <w:u w:val="single"/>
        </w:rPr>
        <w:t xml:space="preserve">PROPOSED AMENDMENT </w:t>
      </w:r>
      <w:r>
        <w:rPr>
          <w:b/>
          <w:bCs/>
          <w:sz w:val="40"/>
          <w:szCs w:val="40"/>
          <w:u w:val="single"/>
        </w:rPr>
        <w:t>9</w:t>
      </w:r>
    </w:p>
    <w:p w14:paraId="2D2FD159" w14:textId="77777777" w:rsidR="00882630" w:rsidRDefault="00882630" w:rsidP="00792F9E">
      <w:pPr>
        <w:jc w:val="center"/>
        <w:rPr>
          <w:b/>
          <w:bCs/>
          <w:u w:val="single"/>
        </w:rPr>
      </w:pPr>
    </w:p>
    <w:p w14:paraId="0A5317E8" w14:textId="77777777" w:rsidR="00882630" w:rsidRDefault="00882630" w:rsidP="00792F9E">
      <w:pPr>
        <w:jc w:val="center"/>
        <w:rPr>
          <w:b/>
          <w:bCs/>
          <w:u w:val="single"/>
        </w:rPr>
      </w:pPr>
    </w:p>
    <w:p w14:paraId="4F8B3A70" w14:textId="1E7F0798" w:rsidR="00792F9E" w:rsidRDefault="00792F9E" w:rsidP="00792F9E">
      <w:pPr>
        <w:jc w:val="center"/>
        <w:rPr>
          <w:b/>
          <w:bCs/>
          <w:u w:val="single"/>
        </w:rPr>
      </w:pPr>
      <w:r>
        <w:rPr>
          <w:b/>
          <w:bCs/>
          <w:u w:val="single"/>
        </w:rPr>
        <w:t>PROPOSED AMENDMENT TO DECLARATION OF COVENANTS, CONDITIONS AND RESTRICTIONS – SUTTON LAKES</w:t>
      </w:r>
    </w:p>
    <w:p w14:paraId="2B4DC0AB" w14:textId="77777777" w:rsidR="00792F9E" w:rsidRDefault="00792F9E" w:rsidP="00792F9E"/>
    <w:p w14:paraId="65A0C6AD" w14:textId="73AF3077" w:rsidR="00792F9E" w:rsidRPr="00792F9E" w:rsidRDefault="00792F9E" w:rsidP="00792F9E">
      <w:pPr>
        <w:jc w:val="center"/>
        <w:rPr>
          <w:b/>
          <w:bCs/>
        </w:rPr>
      </w:pPr>
      <w:r w:rsidRPr="00792F9E">
        <w:rPr>
          <w:b/>
          <w:bCs/>
          <w:highlight w:val="yellow"/>
        </w:rPr>
        <w:t>ENFORCEMENT/SELF-HELP/CONTINUED VIOLATIONS</w:t>
      </w:r>
    </w:p>
    <w:p w14:paraId="76B3546D" w14:textId="77777777" w:rsidR="00792F9E" w:rsidRDefault="00792F9E" w:rsidP="00792F9E"/>
    <w:p w14:paraId="60E51BC3" w14:textId="77777777" w:rsidR="00792F9E" w:rsidRPr="000E5EF2" w:rsidRDefault="00792F9E" w:rsidP="00792F9E">
      <w:r w:rsidRPr="000E5EF2">
        <w:tab/>
        <w:t xml:space="preserve">The following changes to the </w:t>
      </w:r>
      <w:r>
        <w:t xml:space="preserve">Declaration of Covenants, Conditions and Restrictions – Sutton Lakes </w:t>
      </w:r>
      <w:r w:rsidRPr="000E5EF2">
        <w:t>(“Declaration”) are recommended for approval.</w:t>
      </w:r>
    </w:p>
    <w:p w14:paraId="5066F828" w14:textId="77777777" w:rsidR="00792F9E" w:rsidRDefault="00792F9E" w:rsidP="00792F9E">
      <w:pPr>
        <w:rPr>
          <w:rFonts w:eastAsia="Calibri" w:cs="Times New Roman"/>
          <w:i/>
          <w:kern w:val="0"/>
          <w:szCs w:val="24"/>
          <w14:ligatures w14:val="none"/>
        </w:rPr>
      </w:pPr>
    </w:p>
    <w:p w14:paraId="194AFB16" w14:textId="77777777" w:rsidR="00792F9E" w:rsidRPr="000E5EF2" w:rsidRDefault="00792F9E" w:rsidP="00792F9E">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58F6308D" w14:textId="77777777" w:rsidR="00792F9E" w:rsidRDefault="00792F9E" w:rsidP="00792F9E">
      <w:pPr>
        <w:jc w:val="center"/>
        <w:rPr>
          <w:rFonts w:eastAsia="Calibri" w:cs="Times New Roman"/>
          <w:b/>
          <w:bCs/>
          <w:kern w:val="0"/>
          <w:szCs w:val="24"/>
          <w14:ligatures w14:val="none"/>
        </w:rPr>
      </w:pPr>
    </w:p>
    <w:p w14:paraId="6E0BA379" w14:textId="77777777" w:rsidR="00792F9E" w:rsidRDefault="00792F9E" w:rsidP="00792F9E">
      <w:pPr>
        <w:jc w:val="center"/>
        <w:rPr>
          <w:rFonts w:eastAsia="Calibri" w:cs="Times New Roman"/>
          <w:b/>
          <w:bCs/>
          <w:kern w:val="0"/>
          <w:szCs w:val="24"/>
          <w14:ligatures w14:val="none"/>
        </w:rPr>
      </w:pPr>
    </w:p>
    <w:p w14:paraId="6CC112BB" w14:textId="77B17613" w:rsidR="00792F9E" w:rsidRDefault="00792F9E" w:rsidP="00792F9E">
      <w:pPr>
        <w:jc w:val="center"/>
        <w:rPr>
          <w:rFonts w:eastAsia="Calibri" w:cs="Times New Roman"/>
          <w:b/>
          <w:bCs/>
          <w:kern w:val="0"/>
          <w:szCs w:val="24"/>
          <w14:ligatures w14:val="none"/>
        </w:rPr>
      </w:pPr>
      <w:r>
        <w:rPr>
          <w:rFonts w:eastAsia="Calibri" w:cs="Times New Roman"/>
          <w:b/>
          <w:bCs/>
          <w:kern w:val="0"/>
          <w:szCs w:val="24"/>
          <w14:ligatures w14:val="none"/>
        </w:rPr>
        <w:t>ARTICLE XII</w:t>
      </w:r>
    </w:p>
    <w:p w14:paraId="45F86F9E" w14:textId="77777777" w:rsidR="00792F9E" w:rsidRDefault="00792F9E" w:rsidP="00792F9E">
      <w:pPr>
        <w:jc w:val="center"/>
        <w:rPr>
          <w:rFonts w:eastAsia="Calibri" w:cs="Times New Roman"/>
          <w:b/>
          <w:bCs/>
          <w:kern w:val="0"/>
          <w:szCs w:val="24"/>
          <w14:ligatures w14:val="none"/>
        </w:rPr>
      </w:pPr>
      <w:r>
        <w:rPr>
          <w:rFonts w:eastAsia="Calibri" w:cs="Times New Roman"/>
          <w:b/>
          <w:bCs/>
          <w:kern w:val="0"/>
          <w:szCs w:val="24"/>
          <w14:ligatures w14:val="none"/>
        </w:rPr>
        <w:t>General Provisions</w:t>
      </w:r>
    </w:p>
    <w:p w14:paraId="66DED896" w14:textId="77777777" w:rsidR="00792F9E" w:rsidRDefault="00792F9E" w:rsidP="00792F9E">
      <w:pPr>
        <w:rPr>
          <w:rFonts w:eastAsia="Calibri" w:cs="Times New Roman"/>
          <w:b/>
          <w:bCs/>
          <w:kern w:val="0"/>
          <w:szCs w:val="24"/>
          <w14:ligatures w14:val="none"/>
        </w:rPr>
      </w:pPr>
    </w:p>
    <w:p w14:paraId="0E27EAAE" w14:textId="77777777" w:rsidR="00792F9E" w:rsidRDefault="00792F9E" w:rsidP="00792F9E">
      <w:pPr>
        <w:pStyle w:val="ListParagraph"/>
        <w:numPr>
          <w:ilvl w:val="0"/>
          <w:numId w:val="1"/>
        </w:numPr>
        <w:ind w:left="0" w:firstLine="720"/>
        <w:rPr>
          <w:rFonts w:eastAsia="Calibri" w:cs="Times New Roman"/>
          <w:kern w:val="0"/>
          <w:szCs w:val="24"/>
          <w14:ligatures w14:val="none"/>
        </w:rPr>
      </w:pPr>
      <w:r w:rsidRPr="00ED3837">
        <w:rPr>
          <w:rFonts w:eastAsia="Calibri" w:cs="Times New Roman"/>
          <w:kern w:val="0"/>
          <w:szCs w:val="24"/>
          <w14:ligatures w14:val="none"/>
        </w:rPr>
        <w:t>Legal Action and Violation. If any Owner</w:t>
      </w:r>
      <w:r>
        <w:rPr>
          <w:rFonts w:eastAsia="Calibri" w:cs="Times New Roman"/>
          <w:kern w:val="0"/>
          <w:szCs w:val="24"/>
          <w:u w:val="single"/>
          <w14:ligatures w14:val="none"/>
        </w:rPr>
        <w:t>, tenant, guest, or invitee of an Owner</w:t>
      </w:r>
      <w:r w:rsidRPr="00ED3837">
        <w:rPr>
          <w:rFonts w:eastAsia="Calibri" w:cs="Times New Roman"/>
          <w:kern w:val="0"/>
          <w:szCs w:val="24"/>
          <w14:ligatures w14:val="none"/>
        </w:rPr>
        <w:t xml:space="preserve"> violates or attempts to violate any of these covenants and restrictions (hereinafter referred to as the "Offending Owner"), Declarant, any Owner or the Association may, upon ten (10) days written notice to the Owner of the offending Residential Lot, prosecute proceedings at law for the recovery of damages against the Offending Owner</w:t>
      </w:r>
      <w:r>
        <w:rPr>
          <w:rFonts w:eastAsia="Calibri" w:cs="Times New Roman"/>
          <w:kern w:val="0"/>
          <w:szCs w:val="24"/>
          <w:u w:val="single"/>
          <w14:ligatures w14:val="none"/>
        </w:rPr>
        <w:t>, tenant, guest, or invitee of the Owner</w:t>
      </w:r>
      <w:r w:rsidRPr="00ED3837">
        <w:rPr>
          <w:rFonts w:eastAsia="Calibri" w:cs="Times New Roman"/>
          <w:kern w:val="0"/>
          <w:szCs w:val="24"/>
          <w14:ligatures w14:val="none"/>
        </w:rPr>
        <w:t xml:space="preserve"> and maintain a proceeding in equity against the Offending Owner</w:t>
      </w:r>
      <w:r>
        <w:rPr>
          <w:rFonts w:eastAsia="Calibri" w:cs="Times New Roman"/>
          <w:kern w:val="0"/>
          <w:szCs w:val="24"/>
          <w:u w:val="single"/>
          <w14:ligatures w14:val="none"/>
        </w:rPr>
        <w:t>, tenant, guest, or invitee of the Owner</w:t>
      </w:r>
      <w:r w:rsidRPr="00ED3837">
        <w:rPr>
          <w:rFonts w:eastAsia="Calibri" w:cs="Times New Roman"/>
          <w:kern w:val="0"/>
          <w:szCs w:val="24"/>
          <w14:ligatures w14:val="none"/>
        </w:rPr>
        <w:t xml:space="preserve"> for the purpose of preventing or enjoining all or any such violation or attempted violation. If any improvement exists on any Residential Lot which has not been installed or erected by Declarant or approved by the ARC or if any condition exists which is in violation of these covenants and restrictions, Declarant and the Association shall have the right, but not the obligation, to enter upon the Residential Lot where such violation exists and summarily to abate, correct or remove the same, </w:t>
      </w:r>
      <w:r w:rsidRPr="00CE6665">
        <w:rPr>
          <w:rFonts w:eastAsia="Calibri" w:cs="Times New Roman"/>
          <w:strike/>
          <w:kern w:val="0"/>
          <w:szCs w:val="24"/>
          <w14:ligatures w14:val="none"/>
        </w:rPr>
        <w:t>all at the expense of the Offending Owner, and/or the Board may assess a reasonable fine against such Offendin</w:t>
      </w:r>
      <w:r>
        <w:rPr>
          <w:rFonts w:eastAsia="Calibri" w:cs="Times New Roman"/>
          <w:strike/>
          <w:kern w:val="0"/>
          <w:szCs w:val="24"/>
          <w14:ligatures w14:val="none"/>
        </w:rPr>
        <w:t>g O</w:t>
      </w:r>
      <w:r w:rsidRPr="0072213F">
        <w:rPr>
          <w:rFonts w:eastAsia="Calibri" w:cs="Times New Roman"/>
          <w:strike/>
          <w:kern w:val="0"/>
          <w:szCs w:val="24"/>
          <w14:ligatures w14:val="none"/>
        </w:rPr>
        <w:t>wner, and/or the Board may assess a reasonable fine against such Offending</w:t>
      </w:r>
      <w:r>
        <w:rPr>
          <w:rFonts w:eastAsia="Calibri" w:cs="Times New Roman"/>
          <w:strike/>
          <w:kern w:val="0"/>
          <w:szCs w:val="24"/>
          <w14:ligatures w14:val="none"/>
        </w:rPr>
        <w:t xml:space="preserve"> </w:t>
      </w:r>
      <w:r w:rsidRPr="0072213F">
        <w:rPr>
          <w:rFonts w:eastAsia="Calibri" w:cs="Times New Roman"/>
          <w:strike/>
          <w:kern w:val="0"/>
          <w:szCs w:val="24"/>
          <w14:ligatures w14:val="none"/>
        </w:rPr>
        <w:t xml:space="preserve">Owner, which expense or fine (herein called "Special Assessment") shall be payable by such Owner to the Declarant or the Association on demand. </w:t>
      </w:r>
      <w:r>
        <w:rPr>
          <w:rFonts w:eastAsia="Calibri" w:cs="Times New Roman"/>
          <w:kern w:val="0"/>
          <w:szCs w:val="24"/>
          <w:u w:val="single"/>
          <w14:ligatures w14:val="none"/>
        </w:rPr>
        <w:t xml:space="preserve">and the Association may charge the Offending Owner for (a) the actual costs of performing such work, (b) a reasonable administrative fee as determined by the Board, and (c) all attorneys’ fees and costs incurred by the Association in connection with the violation and any self-help action. </w:t>
      </w:r>
      <w:r w:rsidRPr="007B6E67">
        <w:rPr>
          <w:rFonts w:eastAsia="Calibri" w:cs="Times New Roman"/>
          <w:kern w:val="0"/>
          <w:szCs w:val="24"/>
          <w:u w:val="single"/>
          <w14:ligatures w14:val="none"/>
        </w:rPr>
        <w:t xml:space="preserve">The Association shall invoice the Offending Owner for such amounts, which shall be due within ten (10) days of the date of the invoice. If such amounts remain unpaid after the ten (10) day period, the Board of Directors may, by majority vote, levy </w:t>
      </w:r>
      <w:proofErr w:type="spellStart"/>
      <w:proofErr w:type="gramStart"/>
      <w:r w:rsidRPr="007B6E67">
        <w:rPr>
          <w:rFonts w:eastAsia="Calibri" w:cs="Times New Roman"/>
          <w:kern w:val="0"/>
          <w:szCs w:val="24"/>
          <w:u w:val="single"/>
          <w14:ligatures w14:val="none"/>
        </w:rPr>
        <w:t>a</w:t>
      </w:r>
      <w:proofErr w:type="spellEnd"/>
      <w:proofErr w:type="gramEnd"/>
      <w:r w:rsidRPr="007B6E67">
        <w:rPr>
          <w:rFonts w:eastAsia="Calibri" w:cs="Times New Roman"/>
          <w:kern w:val="0"/>
          <w:szCs w:val="24"/>
          <w:u w:val="single"/>
          <w14:ligatures w14:val="none"/>
        </w:rPr>
        <w:t xml:space="preserve"> individual assessment against the Lot of the Offending Owner in the total amount due. Such individual assessment shall be collectible in the same manner as any other assessment under Article IV of this Declaration, including the imposition of a lien against the Lot until paid in full.</w:t>
      </w:r>
    </w:p>
    <w:p w14:paraId="2C62D62D" w14:textId="77777777" w:rsidR="00792F9E" w:rsidRDefault="00792F9E" w:rsidP="00792F9E">
      <w:pPr>
        <w:rPr>
          <w:rFonts w:eastAsia="Calibri" w:cs="Times New Roman"/>
          <w:kern w:val="0"/>
          <w:szCs w:val="24"/>
          <w14:ligatures w14:val="none"/>
        </w:rPr>
      </w:pPr>
    </w:p>
    <w:p w14:paraId="66BF4254" w14:textId="77777777" w:rsidR="00792F9E" w:rsidRDefault="00792F9E" w:rsidP="00792F9E">
      <w:pPr>
        <w:ind w:firstLine="720"/>
        <w:rPr>
          <w:rFonts w:eastAsia="Calibri" w:cs="Times New Roman"/>
          <w:kern w:val="0"/>
          <w:szCs w:val="24"/>
          <w14:ligatures w14:val="none"/>
        </w:rPr>
      </w:pPr>
      <w:r w:rsidRPr="0072213F">
        <w:rPr>
          <w:rFonts w:eastAsia="Calibri" w:cs="Times New Roman"/>
          <w:kern w:val="0"/>
          <w:szCs w:val="24"/>
          <w14:ligatures w14:val="none"/>
        </w:rPr>
        <w:t xml:space="preserve">Any entry, abatement, correction or removal shall not be deemed a trespass or make the Declarant or Association liable for any damages on account thereof. The remedies contained in </w:t>
      </w:r>
      <w:r w:rsidRPr="0072213F">
        <w:rPr>
          <w:rFonts w:eastAsia="Calibri" w:cs="Times New Roman"/>
          <w:kern w:val="0"/>
          <w:szCs w:val="24"/>
          <w14:ligatures w14:val="none"/>
        </w:rPr>
        <w:lastRenderedPageBreak/>
        <w:t>this paragraph shall be cumulative of all other remedies now and hereinafter provided by law and equity.</w:t>
      </w:r>
    </w:p>
    <w:p w14:paraId="52608361" w14:textId="77777777" w:rsidR="00792F9E" w:rsidRDefault="00792F9E" w:rsidP="00792F9E">
      <w:pPr>
        <w:rPr>
          <w:rFonts w:eastAsia="Calibri" w:cs="Times New Roman"/>
          <w:kern w:val="0"/>
          <w:szCs w:val="24"/>
          <w14:ligatures w14:val="none"/>
        </w:rPr>
      </w:pPr>
    </w:p>
    <w:p w14:paraId="5B9D0B89" w14:textId="77777777" w:rsidR="00792F9E" w:rsidRPr="00542FF7" w:rsidRDefault="00792F9E" w:rsidP="00792F9E">
      <w:pPr>
        <w:ind w:firstLine="720"/>
        <w:rPr>
          <w:bCs/>
          <w:u w:val="single"/>
        </w:rPr>
      </w:pPr>
      <w:r w:rsidRPr="00AD1BA2">
        <w:rPr>
          <w:bCs/>
          <w:u w:val="single"/>
        </w:rPr>
        <w:t>The Board of Directors of the Association, or its authorized agent, shall have the authority, in its sole discretion, to determine when a violation of the Declaration</w:t>
      </w:r>
      <w:r>
        <w:rPr>
          <w:bCs/>
          <w:u w:val="single"/>
        </w:rPr>
        <w:t xml:space="preserve"> </w:t>
      </w:r>
      <w:r w:rsidRPr="00AD1BA2">
        <w:rPr>
          <w:bCs/>
          <w:u w:val="single"/>
        </w:rPr>
        <w:t xml:space="preserve">or the Rules and Regulations has been </w:t>
      </w:r>
      <w:r>
        <w:rPr>
          <w:bCs/>
          <w:u w:val="single"/>
        </w:rPr>
        <w:t>cured</w:t>
      </w:r>
      <w:r w:rsidRPr="00AD1BA2">
        <w:rPr>
          <w:bCs/>
          <w:u w:val="single"/>
        </w:rPr>
        <w:t>. The Board may consider repeated or intermittent conduct</w:t>
      </w:r>
      <w:r>
        <w:rPr>
          <w:bCs/>
          <w:u w:val="single"/>
        </w:rPr>
        <w:t xml:space="preserve"> - </w:t>
      </w:r>
      <w:r w:rsidRPr="00AD1BA2">
        <w:rPr>
          <w:bCs/>
          <w:u w:val="single"/>
        </w:rPr>
        <w:t>such as violations that cease temporarily but recur within a short time</w:t>
      </w:r>
      <w:r>
        <w:rPr>
          <w:bCs/>
          <w:u w:val="single"/>
        </w:rPr>
        <w:t xml:space="preserve"> - </w:t>
      </w:r>
      <w:r w:rsidRPr="00AD1BA2">
        <w:rPr>
          <w:bCs/>
          <w:u w:val="single"/>
        </w:rPr>
        <w:t xml:space="preserve">as a continuing, uncorrected violation for purposes of enforcement, including the imposition of fines or suspension of use rights. This section is intended to clarify and preserve the Association’s enforcement rights </w:t>
      </w:r>
      <w:proofErr w:type="gramStart"/>
      <w:r w:rsidRPr="00AD1BA2">
        <w:rPr>
          <w:bCs/>
          <w:u w:val="single"/>
        </w:rPr>
        <w:t>in light of</w:t>
      </w:r>
      <w:proofErr w:type="gramEnd"/>
      <w:r w:rsidRPr="00AD1BA2">
        <w:rPr>
          <w:bCs/>
          <w:u w:val="single"/>
        </w:rPr>
        <w:t xml:space="preserve"> changes to Section 720.305, Florida Statutes (202</w:t>
      </w:r>
      <w:r>
        <w:rPr>
          <w:bCs/>
          <w:u w:val="single"/>
        </w:rPr>
        <w:t>5</w:t>
      </w:r>
      <w:r w:rsidRPr="00AD1BA2">
        <w:rPr>
          <w:bCs/>
          <w:u w:val="single"/>
        </w:rPr>
        <w:t xml:space="preserve">), and shall be </w:t>
      </w:r>
      <w:proofErr w:type="gramStart"/>
      <w:r w:rsidRPr="00AD1BA2">
        <w:rPr>
          <w:bCs/>
          <w:u w:val="single"/>
        </w:rPr>
        <w:t>interpreted to the fullest extent</w:t>
      </w:r>
      <w:proofErr w:type="gramEnd"/>
      <w:r w:rsidRPr="00AD1BA2">
        <w:rPr>
          <w:bCs/>
          <w:u w:val="single"/>
        </w:rPr>
        <w:t xml:space="preserve"> permitted by law.</w:t>
      </w:r>
    </w:p>
    <w:p w14:paraId="44AF9C12" w14:textId="77777777" w:rsidR="00792F9E" w:rsidRDefault="00792F9E"/>
    <w:sectPr w:rsidR="0079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4D13"/>
    <w:multiLevelType w:val="hybridMultilevel"/>
    <w:tmpl w:val="E4A2B46C"/>
    <w:lvl w:ilvl="0" w:tplc="B0541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07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9E"/>
    <w:rsid w:val="001B2E75"/>
    <w:rsid w:val="00234EBA"/>
    <w:rsid w:val="00313B71"/>
    <w:rsid w:val="004D0681"/>
    <w:rsid w:val="005F6B07"/>
    <w:rsid w:val="00610197"/>
    <w:rsid w:val="00792F9E"/>
    <w:rsid w:val="00882630"/>
    <w:rsid w:val="009E0321"/>
    <w:rsid w:val="00C01E2E"/>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6DB4"/>
  <w15:chartTrackingRefBased/>
  <w15:docId w15:val="{AE645763-73EF-4A6A-AD61-18931D6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9E"/>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792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F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F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F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F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F9E"/>
    <w:rPr>
      <w:rFonts w:eastAsiaTheme="majorEastAsia" w:cstheme="majorBidi"/>
      <w:color w:val="272727" w:themeColor="text1" w:themeTint="D8"/>
    </w:rPr>
  </w:style>
  <w:style w:type="paragraph" w:styleId="Title">
    <w:name w:val="Title"/>
    <w:basedOn w:val="Normal"/>
    <w:next w:val="Normal"/>
    <w:link w:val="TitleChar"/>
    <w:uiPriority w:val="10"/>
    <w:qFormat/>
    <w:rsid w:val="00792F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F9E"/>
    <w:pPr>
      <w:spacing w:before="160"/>
      <w:jc w:val="center"/>
    </w:pPr>
    <w:rPr>
      <w:i/>
      <w:iCs/>
      <w:color w:val="404040" w:themeColor="text1" w:themeTint="BF"/>
    </w:rPr>
  </w:style>
  <w:style w:type="character" w:customStyle="1" w:styleId="QuoteChar">
    <w:name w:val="Quote Char"/>
    <w:basedOn w:val="DefaultParagraphFont"/>
    <w:link w:val="Quote"/>
    <w:uiPriority w:val="29"/>
    <w:rsid w:val="00792F9E"/>
    <w:rPr>
      <w:i/>
      <w:iCs/>
      <w:color w:val="404040" w:themeColor="text1" w:themeTint="BF"/>
    </w:rPr>
  </w:style>
  <w:style w:type="paragraph" w:styleId="ListParagraph">
    <w:name w:val="List Paragraph"/>
    <w:basedOn w:val="Normal"/>
    <w:uiPriority w:val="34"/>
    <w:qFormat/>
    <w:rsid w:val="00792F9E"/>
    <w:pPr>
      <w:ind w:left="720"/>
      <w:contextualSpacing/>
    </w:pPr>
  </w:style>
  <w:style w:type="character" w:styleId="IntenseEmphasis">
    <w:name w:val="Intense Emphasis"/>
    <w:basedOn w:val="DefaultParagraphFont"/>
    <w:uiPriority w:val="21"/>
    <w:qFormat/>
    <w:rsid w:val="00792F9E"/>
    <w:rPr>
      <w:i/>
      <w:iCs/>
      <w:color w:val="0F4761" w:themeColor="accent1" w:themeShade="BF"/>
    </w:rPr>
  </w:style>
  <w:style w:type="paragraph" w:styleId="IntenseQuote">
    <w:name w:val="Intense Quote"/>
    <w:basedOn w:val="Normal"/>
    <w:next w:val="Normal"/>
    <w:link w:val="IntenseQuoteChar"/>
    <w:uiPriority w:val="30"/>
    <w:qFormat/>
    <w:rsid w:val="00792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F9E"/>
    <w:rPr>
      <w:i/>
      <w:iCs/>
      <w:color w:val="0F4761" w:themeColor="accent1" w:themeShade="BF"/>
    </w:rPr>
  </w:style>
  <w:style w:type="character" w:styleId="IntenseReference">
    <w:name w:val="Intense Reference"/>
    <w:basedOn w:val="DefaultParagraphFont"/>
    <w:uiPriority w:val="32"/>
    <w:qFormat/>
    <w:rsid w:val="00792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3089</Characters>
  <Application>Microsoft Office Word</Application>
  <DocSecurity>0</DocSecurity>
  <Lines>55</Lines>
  <Paragraphs>10</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3</cp:revision>
  <dcterms:created xsi:type="dcterms:W3CDTF">2026-01-27T16:32:00Z</dcterms:created>
  <dcterms:modified xsi:type="dcterms:W3CDTF">2026-01-27T17:10:00Z</dcterms:modified>
</cp:coreProperties>
</file>